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ackground w:color="FFFFFF">
    <v:background id="_x0000_s1025" o:bwmode="white" filled="t" fillcolor="#ffffff" v:ext="SMDATA_7_xECZZwIAAACMAAAAAQAAAAAAAAD///8AAAAAAAAAAAAAAAAAAAAAAAAAAAAAAAAAAAAAAAAAAAB4AAAAAQAAAEAAAAAAAAAAAAAAAFoAAAAAAAAAAAAAAAAAAAAAAAAAAAAAAAAAAAAAAAAAAAAAAAAAAAAAAAAAAAAAAAAAAAAAAAAAA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gAAAAIAAAAAQAAAAEAAAAwAAAAFAAAAAAAAAAAAP//AAABAAAA//8AAAEA">
      <v:fill color2="#000000" type="solid" angle="180"/>
    </v:background>
  </w:background>
  <w:body>
    <w:p>
      <w:pPr>
        <w:rPr>
          <w:rFonts w:ascii="Verdana" w:hAnsi="Verdana" w:cs="Verdana"/>
          <w:sz w:val="16"/>
          <w:szCs w:val="16"/>
        </w:rPr>
      </w:pPr>
      <w:r>
        <w:rPr>
          <w:rFonts w:ascii="Verdana" w:hAnsi="Verdana" w:cs="Verdana"/>
          <w:sz w:val="16"/>
          <w:szCs w:val="16"/>
        </w:rPr>
      </w:r>
    </w:p>
    <w:p>
      <w:pPr>
        <w:rPr>
          <w:rFonts w:ascii="Verdana" w:hAnsi="Verdana" w:cs="Verdana"/>
          <w:sz w:val="16"/>
          <w:szCs w:val="16"/>
        </w:rPr>
      </w:pPr>
      <w:r>
        <w:rPr>
          <w:rFonts w:ascii="Verdana" w:hAnsi="Verdana" w:cs="Verdana"/>
          <w:sz w:val="16"/>
          <w:szCs w:val="16"/>
        </w:rPr>
      </w:r>
    </w:p>
    <w:p>
      <w:pPr>
        <w:rPr>
          <w:rFonts w:ascii="Verdana" w:hAnsi="Verdana" w:cs="Verdana"/>
          <w:sz w:val="16"/>
          <w:szCs w:val="16"/>
        </w:rPr>
      </w:pPr>
      <w:r>
        <w:rPr>
          <w:rFonts w:ascii="Verdana" w:hAnsi="Verdana" w:cs="Verdana"/>
          <w:sz w:val="16"/>
          <w:szCs w:val="16"/>
        </w:rPr>
      </w:r>
    </w:p>
    <w:p>
      <w:pPr>
        <w:rPr>
          <w:rFonts w:ascii="Verdana" w:hAnsi="Verdana" w:cs="Verdana"/>
          <w:sz w:val="16"/>
          <w:szCs w:val="16"/>
        </w:rPr>
      </w:pPr>
      <w:r>
        <w:rPr>
          <w:rFonts w:ascii="Verdana" w:hAnsi="Verdana" w:cs="Verdana"/>
          <w:sz w:val="16"/>
          <w:szCs w:val="16"/>
        </w:rPr>
        <w:t>* Any St. Ann's or St. Mary's parishioner and their dependents are eligible.</w:t>
      </w:r>
    </w:p>
    <w:p>
      <w:pPr>
        <w:rPr>
          <w:rFonts w:ascii="Verdana" w:hAnsi="Verdana" w:cs="Verdana"/>
          <w:sz w:val="16"/>
          <w:szCs w:val="16"/>
        </w:rPr>
      </w:pPr>
      <w:r>
        <w:rPr>
          <w:rFonts w:ascii="Verdana" w:hAnsi="Verdana" w:cs="Verdana"/>
          <w:sz w:val="16"/>
          <w:szCs w:val="16"/>
        </w:rPr>
      </w:r>
    </w:p>
    <w:p>
      <w:pPr>
        <w:rPr>
          <w:rFonts w:ascii="Verdana" w:hAnsi="Verdana" w:cs="Verdana"/>
          <w:sz w:val="16"/>
          <w:szCs w:val="16"/>
        </w:rPr>
      </w:pPr>
      <w:r>
        <w:rPr>
          <w:rFonts w:ascii="Verdana" w:hAnsi="Verdana" w:cs="Verdana"/>
          <w:sz w:val="16"/>
          <w:szCs w:val="16"/>
        </w:rPr>
        <w:t>* The award winner may attend a:</w:t>
      </w:r>
    </w:p>
    <w:p>
      <w:pPr>
        <w:rPr>
          <w:rFonts w:ascii="Verdana" w:hAnsi="Verdana" w:cs="Verdana"/>
          <w:sz w:val="16"/>
          <w:szCs w:val="16"/>
        </w:rPr>
      </w:pPr>
      <w:r>
        <w:rPr>
          <w:rFonts w:ascii="Verdana" w:hAnsi="Verdana" w:cs="Verdana"/>
          <w:sz w:val="16"/>
          <w:szCs w:val="16"/>
        </w:rPr>
        <w:t xml:space="preserve">  - Catholic high school, or</w:t>
      </w:r>
    </w:p>
    <w:p>
      <w:pPr>
        <w:rPr>
          <w:rFonts w:ascii="Verdana" w:hAnsi="Verdana" w:cs="Verdana"/>
          <w:sz w:val="16"/>
          <w:szCs w:val="16"/>
        </w:rPr>
      </w:pPr>
      <w:r>
        <w:rPr>
          <w:rFonts w:ascii="Verdana" w:hAnsi="Verdana" w:cs="Verdana"/>
          <w:sz w:val="16"/>
          <w:szCs w:val="16"/>
        </w:rPr>
        <w:t xml:space="preserve">  - any college or university.</w:t>
      </w:r>
    </w:p>
    <w:p>
      <w:pPr>
        <w:rPr>
          <w:rFonts w:ascii="Verdana" w:hAnsi="Verdana" w:cs="Verdana"/>
          <w:sz w:val="16"/>
          <w:szCs w:val="16"/>
        </w:rPr>
      </w:pPr>
      <w:r>
        <w:rPr>
          <w:rFonts w:ascii="Verdana" w:hAnsi="Verdana" w:cs="Verdana"/>
          <w:sz w:val="16"/>
          <w:szCs w:val="16"/>
        </w:rPr>
      </w:r>
    </w:p>
    <w:p>
      <w:pPr>
        <w:rPr>
          <w:rFonts w:ascii="Verdana" w:hAnsi="Verdana" w:cs="Verdana"/>
          <w:sz w:val="16"/>
          <w:szCs w:val="16"/>
        </w:rPr>
      </w:pPr>
      <w:r>
        <w:rPr>
          <w:rFonts w:ascii="Verdana" w:hAnsi="Verdana" w:cs="Verdana"/>
          <w:sz w:val="16"/>
          <w:szCs w:val="16"/>
        </w:rPr>
        <w:t>* The criteria for determining awards will include:</w:t>
      </w:r>
    </w:p>
    <w:p>
      <w:pPr>
        <w:rPr>
          <w:rFonts w:ascii="Verdana" w:hAnsi="Verdana" w:cs="Verdana"/>
          <w:sz w:val="16"/>
          <w:szCs w:val="16"/>
        </w:rPr>
      </w:pPr>
      <w:r>
        <w:rPr>
          <w:rFonts w:ascii="Verdana" w:hAnsi="Verdana" w:cs="Verdana"/>
          <w:sz w:val="16"/>
          <w:szCs w:val="16"/>
        </w:rPr>
        <w:t xml:space="preserve">  - a completed application form</w:t>
      </w:r>
    </w:p>
    <w:p>
      <w:pPr>
        <w:rPr>
          <w:rFonts w:ascii="Verdana" w:hAnsi="Verdana" w:cs="Verdana"/>
          <w:sz w:val="16"/>
          <w:szCs w:val="16"/>
        </w:rPr>
      </w:pPr>
      <w:r>
        <w:rPr>
          <w:rFonts w:ascii="Verdana" w:hAnsi="Verdana" w:cs="Verdana"/>
          <w:sz w:val="16"/>
          <w:szCs w:val="16"/>
        </w:rPr>
        <w:t xml:space="preserve">  - academic record</w:t>
      </w:r>
    </w:p>
    <w:p>
      <w:pPr>
        <w:rPr>
          <w:rFonts w:ascii="Verdana" w:hAnsi="Verdana" w:cs="Verdana"/>
          <w:sz w:val="16"/>
          <w:szCs w:val="16"/>
        </w:rPr>
      </w:pPr>
      <w:r>
        <w:rPr>
          <w:rFonts w:ascii="Verdana" w:hAnsi="Verdana" w:cs="Verdana"/>
          <w:sz w:val="16"/>
          <w:szCs w:val="16"/>
        </w:rPr>
        <w:t xml:space="preserve">  - assessment of character based on the letter(s) of recommendation</w:t>
      </w:r>
    </w:p>
    <w:p>
      <w:pPr>
        <w:rPr>
          <w:rFonts w:ascii="Verdana" w:hAnsi="Verdana" w:cs="Verdana"/>
          <w:sz w:val="16"/>
          <w:szCs w:val="16"/>
        </w:rPr>
      </w:pPr>
      <w:r>
        <w:rPr>
          <w:rFonts w:ascii="Verdana" w:hAnsi="Verdana" w:cs="Verdana"/>
          <w:sz w:val="16"/>
          <w:szCs w:val="16"/>
        </w:rPr>
        <w:t xml:space="preserve">  - a service-oriented work ethic Virgil Hicks would be proud of</w:t>
      </w:r>
    </w:p>
    <w:p>
      <w:pPr>
        <w:rPr>
          <w:rFonts w:ascii="Verdana" w:hAnsi="Verdana" w:cs="Verdana"/>
          <w:sz w:val="16"/>
          <w:szCs w:val="16"/>
        </w:rPr>
      </w:pPr>
      <w:r>
        <w:rPr>
          <w:rFonts w:ascii="Verdana" w:hAnsi="Verdana" w:cs="Verdana"/>
          <w:sz w:val="16"/>
          <w:szCs w:val="16"/>
        </w:rPr>
        <w:t xml:space="preserve">  -an essay of 500 words maximum on the subject “How my faith guides me in my everyday life”</w:t>
      </w:r>
    </w:p>
    <w:p>
      <w:pPr>
        <w:rPr>
          <w:rFonts w:ascii="Verdana" w:hAnsi="Verdana" w:cs="Verdana"/>
          <w:sz w:val="16"/>
          <w:szCs w:val="16"/>
        </w:rPr>
      </w:pPr>
      <w:r>
        <w:rPr>
          <w:rFonts w:ascii="Verdana" w:hAnsi="Verdana" w:cs="Verdana"/>
          <w:sz w:val="16"/>
          <w:szCs w:val="16"/>
        </w:rPr>
      </w:r>
    </w:p>
    <w:p>
      <w:pPr>
        <w:rPr>
          <w:rFonts w:ascii="Verdana" w:hAnsi="Verdana" w:cs="Verdana"/>
          <w:sz w:val="16"/>
          <w:szCs w:val="16"/>
        </w:rPr>
      </w:pPr>
      <w:r>
        <w:rPr>
          <w:rFonts w:ascii="Verdana" w:hAnsi="Verdana" w:cs="Verdana"/>
          <w:sz w:val="16"/>
          <w:szCs w:val="16"/>
        </w:rPr>
        <w:t xml:space="preserve">* Applications are due by </w:t>
      </w:r>
      <w:r>
        <w:rPr>
          <w:rFonts w:ascii="Verdana" w:hAnsi="Verdana" w:cs="Verdana"/>
          <w:b/>
          <w:sz w:val="16"/>
          <w:szCs w:val="16"/>
        </w:rPr>
        <w:t>May 15, 2025</w:t>
      </w:r>
      <w:r>
        <w:rPr>
          <w:rFonts w:ascii="Verdana" w:hAnsi="Verdana" w:cs="Verdana"/>
          <w:sz w:val="16"/>
          <w:szCs w:val="16"/>
        </w:rPr>
        <w:t>.</w:t>
      </w:r>
    </w:p>
    <w:p>
      <w:pPr>
        <w:rPr>
          <w:rFonts w:ascii="Verdana" w:hAnsi="Verdana" w:cs="Verdana"/>
          <w:sz w:val="16"/>
          <w:szCs w:val="16"/>
        </w:rPr>
      </w:pPr>
      <w:r>
        <w:rPr>
          <w:rFonts w:ascii="Verdana" w:hAnsi="Verdana" w:cs="Verdana"/>
          <w:sz w:val="16"/>
          <w:szCs w:val="16"/>
        </w:rPr>
      </w:r>
    </w:p>
    <w:p>
      <w:pPr>
        <w:rPr>
          <w:rFonts w:ascii="Verdana" w:hAnsi="Verdana" w:cs="Verdana"/>
          <w:sz w:val="16"/>
          <w:szCs w:val="16"/>
        </w:rPr>
      </w:pPr>
      <w:r>
        <w:rPr>
          <w:rFonts w:ascii="Verdana" w:hAnsi="Verdana" w:cs="Verdana"/>
          <w:sz w:val="16"/>
          <w:szCs w:val="16"/>
        </w:rPr>
        <w:t>* Applications should be sent to:</w:t>
      </w:r>
    </w:p>
    <w:p>
      <w:pPr>
        <w:rPr>
          <w:rFonts w:ascii="Verdana" w:hAnsi="Verdana" w:cs="Verdana"/>
          <w:sz w:val="16"/>
          <w:szCs w:val="16"/>
        </w:rPr>
      </w:pPr>
      <w:r>
        <w:rPr>
          <w:rFonts w:ascii="Verdana" w:hAnsi="Verdana" w:cs="Verdana"/>
          <w:sz w:val="16"/>
          <w:szCs w:val="16"/>
        </w:rPr>
        <w:t>Virgil S. Hicks, Jr. Memorial Scholarship Committee</w:t>
      </w:r>
    </w:p>
    <w:p>
      <w:pPr>
        <w:rPr>
          <w:rFonts w:ascii="Verdana" w:hAnsi="Verdana" w:cs="Verdana"/>
          <w:sz w:val="16"/>
          <w:szCs w:val="16"/>
        </w:rPr>
      </w:pPr>
      <w:r>
        <w:rPr>
          <w:rFonts w:ascii="Verdana" w:hAnsi="Verdana" w:cs="Verdana"/>
          <w:sz w:val="16"/>
          <w:szCs w:val="16"/>
        </w:rPr>
        <w:t>Knights of Columbus #7538</w:t>
      </w:r>
    </w:p>
    <w:p>
      <w:pPr>
        <w:rPr>
          <w:rFonts w:ascii="Verdana" w:hAnsi="Verdana" w:cs="Verdana"/>
          <w:sz w:val="16"/>
          <w:szCs w:val="16"/>
        </w:rPr>
      </w:pPr>
      <w:r>
        <w:rPr>
          <w:rFonts w:ascii="Verdana" w:hAnsi="Verdana" w:cs="Verdana"/>
          <w:sz w:val="16"/>
          <w:szCs w:val="16"/>
        </w:rPr>
        <w:t>P.O. Box 2032</w:t>
      </w:r>
    </w:p>
    <w:p>
      <w:pPr>
        <w:rPr>
          <w:rFonts w:ascii="Verdana" w:hAnsi="Verdana" w:cs="Verdana"/>
          <w:sz w:val="16"/>
          <w:szCs w:val="16"/>
        </w:rPr>
      </w:pPr>
      <w:r>
        <w:rPr>
          <w:rFonts w:ascii="Verdana" w:hAnsi="Verdana" w:cs="Verdana"/>
          <w:sz w:val="16"/>
          <w:szCs w:val="16"/>
        </w:rPr>
        <w:t>Ashland, VA 23005</w:t>
      </w:r>
    </w:p>
    <w:p>
      <w:pPr>
        <w:rPr>
          <w:rFonts w:ascii="Verdana" w:hAnsi="Verdana" w:cs="Verdana"/>
          <w:sz w:val="16"/>
          <w:szCs w:val="16"/>
        </w:rPr>
      </w:pPr>
      <w:r>
        <w:rPr>
          <w:rFonts w:ascii="Verdana" w:hAnsi="Verdana" w:cs="Verdana"/>
          <w:sz w:val="16"/>
          <w:szCs w:val="16"/>
        </w:rPr>
      </w:r>
    </w:p>
    <w:p>
      <w:pPr>
        <w:rPr>
          <w:rFonts w:ascii="Verdana" w:hAnsi="Verdana" w:cs="Verdana"/>
          <w:sz w:val="16"/>
          <w:szCs w:val="16"/>
        </w:rPr>
      </w:pPr>
      <w:r>
        <w:rPr>
          <w:rFonts w:ascii="Verdana" w:hAnsi="Verdana" w:cs="Verdana"/>
          <w:sz w:val="16"/>
          <w:szCs w:val="16"/>
        </w:rPr>
        <w:t>* Award announcements will be made the end of June 2025.</w:t>
      </w:r>
    </w:p>
    <w:p>
      <w:pPr>
        <w:rPr>
          <w:rFonts w:ascii="Verdana" w:hAnsi="Verdana" w:cs="Verdana"/>
          <w:sz w:val="16"/>
          <w:szCs w:val="16"/>
        </w:rPr>
      </w:pPr>
      <w:r>
        <w:rPr>
          <w:rFonts w:ascii="Verdana" w:hAnsi="Verdana" w:cs="Verdana"/>
          <w:sz w:val="16"/>
          <w:szCs w:val="16"/>
        </w:rPr>
      </w:r>
    </w:p>
    <w:p>
      <w:pPr>
        <w:rPr>
          <w:rFonts w:ascii="Verdana" w:hAnsi="Verdana" w:cs="Verdana"/>
          <w:sz w:val="16"/>
          <w:szCs w:val="16"/>
        </w:rPr>
      </w:pPr>
      <w:r>
        <w:rPr>
          <w:rFonts w:ascii="Verdana" w:hAnsi="Verdana" w:cs="Verdana"/>
          <w:sz w:val="16"/>
          <w:szCs w:val="16"/>
        </w:rPr>
        <w:t>* Notification of awards will be made by letter to the recipients.</w:t>
      </w:r>
    </w:p>
    <w:p>
      <w:pPr>
        <w:rPr>
          <w:rFonts w:ascii="Verdana" w:hAnsi="Verdana" w:cs="Verdana"/>
          <w:sz w:val="16"/>
          <w:szCs w:val="16"/>
        </w:rPr>
      </w:pPr>
      <w:r>
        <w:rPr>
          <w:rFonts w:ascii="Verdana" w:hAnsi="Verdana" w:cs="Verdana"/>
          <w:sz w:val="16"/>
          <w:szCs w:val="16"/>
        </w:rPr>
      </w:r>
    </w:p>
    <w:p>
      <w:pPr>
        <w:rPr>
          <w:rFonts w:ascii="Verdana" w:hAnsi="Verdana" w:cs="Verdana"/>
          <w:sz w:val="16"/>
          <w:szCs w:val="16"/>
        </w:rPr>
      </w:pPr>
      <w:r>
        <w:rPr>
          <w:rFonts w:ascii="Verdana" w:hAnsi="Verdana" w:cs="Verdana"/>
          <w:sz w:val="16"/>
          <w:szCs w:val="16"/>
        </w:rPr>
        <w:t>* The disbursement of the award funds shall be by check to the recipient.</w:t>
      </w:r>
    </w:p>
    <w:p>
      <w:pPr>
        <w:rPr>
          <w:rFonts w:ascii="Verdana" w:hAnsi="Verdana" w:cs="Verdana"/>
          <w:sz w:val="16"/>
          <w:szCs w:val="16"/>
        </w:rPr>
      </w:pPr>
      <w:r>
        <w:rPr>
          <w:rFonts w:ascii="Verdana" w:hAnsi="Verdana" w:cs="Verdana"/>
          <w:sz w:val="16"/>
          <w:szCs w:val="16"/>
        </w:rPr>
      </w:r>
    </w:p>
    <w:p>
      <w:pPr>
        <w:rPr>
          <w:rFonts w:ascii="Verdana" w:hAnsi="Verdana" w:cs="Verdana"/>
          <w:sz w:val="16"/>
          <w:szCs w:val="16"/>
        </w:rPr>
      </w:pPr>
      <w:r>
        <w:rPr>
          <w:rFonts w:ascii="Verdana" w:hAnsi="Verdana" w:cs="Verdana"/>
          <w:sz w:val="16"/>
          <w:szCs w:val="16"/>
        </w:rPr>
      </w:r>
    </w:p>
    <w:p>
      <w:pPr>
        <w:rPr>
          <w:rFonts w:ascii="Verdana" w:hAnsi="Verdana" w:cs="Verdana"/>
          <w:sz w:val="16"/>
          <w:szCs w:val="16"/>
        </w:rPr>
      </w:pPr>
      <w:r>
        <w:rPr>
          <w:rFonts w:ascii="Verdana" w:hAnsi="Verdana" w:cs="Verdana"/>
          <w:sz w:val="16"/>
          <w:szCs w:val="16"/>
        </w:rPr>
        <w:t>* The Scholarship Committee membership and chairman are appointed by the Grand Knight of Council#7538.</w:t>
      </w:r>
    </w:p>
    <w:p>
      <w:pPr>
        <w:spacing w:before="280" w:after="280"/>
        <w:rPr>
          <w:rFonts w:ascii="Verdana" w:hAnsi="Verdana" w:cs="Verdana"/>
          <w:sz w:val="16"/>
          <w:szCs w:val="16"/>
        </w:rPr>
      </w:pPr>
      <w:r>
        <w:rPr>
          <w:rFonts w:ascii="Verdana" w:hAnsi="Verdana" w:cs="Verdana"/>
          <w:sz w:val="16"/>
          <w:szCs w:val="16"/>
        </w:rPr>
        <w:t xml:space="preserve">* Please forward questions to our Grand Knight: </w:t>
      </w:r>
      <w:hyperlink r:id="rId7" w:history="1">
        <w:r>
          <w:rPr>
            <w:color w:val="0000ff"/>
            <w:sz w:val="22"/>
            <w:szCs w:val="22"/>
            <w:u w:color="auto" w:val="single"/>
          </w:rPr>
          <w:t>gk7538@vakofc.org</w:t>
        </w:r>
        <w:r>
          <w:rPr>
            <w:color w:val="1f497d"/>
            <w:sz w:val="22"/>
            <w:szCs w:val="22"/>
          </w:rPr>
          <w:t xml:space="preserve">  </w:t>
        </w:r>
      </w:hyperlink>
    </w:p>
    <w:p>
      <w:pPr>
        <w:rPr>
          <w:rFonts w:ascii="Verdana" w:hAnsi="Verdana" w:cs="Verdana"/>
          <w:sz w:val="18"/>
          <w:szCs w:val="18"/>
        </w:rPr>
      </w:pPr>
      <w:r>
        <w:rPr>
          <w:rFonts w:ascii="Verdana" w:hAnsi="Verdana" w:cs="Verdana"/>
          <w:sz w:val="16"/>
          <w:szCs w:val="16"/>
        </w:rPr>
        <w:t xml:space="preserve"> </w:t>
      </w:r>
      <w:r>
        <w:rPr>
          <w:rFonts w:ascii="Verdana" w:hAnsi="Verdana" w:cs="Verdana"/>
          <w:sz w:val="18"/>
          <w:szCs w:val="18"/>
        </w:rPr>
      </w:r>
    </w:p>
    <w:p>
      <w:pPr>
        <w:rPr>
          <w:rFonts w:ascii="Verdana" w:hAnsi="Verdana" w:cs="Verdana"/>
          <w:sz w:val="18"/>
          <w:szCs w:val="18"/>
        </w:rPr>
      </w:pPr>
      <w:r>
        <w:rPr>
          <w:rFonts w:ascii="Verdana" w:hAnsi="Verdana" w:cs="Verdana"/>
          <w:sz w:val="18"/>
          <w:szCs w:val="18"/>
        </w:rPr>
      </w:r>
    </w:p>
    <w:p>
      <w:pPr>
        <w:rPr>
          <w:rFonts w:ascii="Verdana" w:hAnsi="Verdana" w:cs="Verdana"/>
          <w:sz w:val="18"/>
          <w:szCs w:val="18"/>
        </w:rPr>
      </w:pPr>
      <w:r>
        <w:rPr>
          <w:rFonts w:ascii="Verdana" w:hAnsi="Verdana" w:cs="Verdana"/>
          <w:sz w:val="18"/>
          <w:szCs w:val="18"/>
        </w:rPr>
      </w:r>
    </w:p>
    <w:p>
      <w:pPr>
        <w:rPr>
          <w:rFonts w:ascii="Verdana" w:hAnsi="Verdana" w:cs="Verdana"/>
          <w:sz w:val="18"/>
          <w:szCs w:val="18"/>
        </w:rPr>
      </w:pPr>
      <w:r>
        <w:rPr>
          <w:rFonts w:ascii="Verdana" w:hAnsi="Verdana" w:cs="Verdana"/>
          <w:sz w:val="18"/>
          <w:szCs w:val="18"/>
        </w:rPr>
      </w:r>
    </w:p>
    <w:p>
      <w:pPr>
        <w:rPr>
          <w:rFonts w:ascii="Verdana" w:hAnsi="Verdana" w:cs="Verdana"/>
          <w:sz w:val="18"/>
          <w:szCs w:val="18"/>
        </w:rPr>
      </w:pPr>
      <w:r>
        <w:rPr>
          <w:rFonts w:ascii="Verdana" w:hAnsi="Verdana" w:cs="Verdana"/>
          <w:sz w:val="18"/>
          <w:szCs w:val="18"/>
        </w:rPr>
      </w:r>
    </w:p>
    <w:p>
      <w:pPr>
        <w:rPr>
          <w:rFonts w:ascii="Verdana" w:hAnsi="Verdana" w:cs="Verdana"/>
          <w:sz w:val="18"/>
          <w:szCs w:val="18"/>
        </w:rPr>
      </w:pPr>
      <w:r>
        <w:rPr>
          <w:rFonts w:ascii="Verdana" w:hAnsi="Verdana" w:cs="Verdana"/>
          <w:sz w:val="18"/>
          <w:szCs w:val="18"/>
        </w:rPr>
      </w:r>
    </w:p>
    <w:p>
      <w:pPr>
        <w:rPr>
          <w:rFonts w:ascii="Verdana" w:hAnsi="Verdana" w:cs="Verdana"/>
          <w:sz w:val="18"/>
          <w:szCs w:val="18"/>
        </w:rPr>
      </w:pPr>
      <w:r>
        <w:rPr>
          <w:rFonts w:ascii="Verdana" w:hAnsi="Verdana" w:cs="Verdana"/>
          <w:sz w:val="18"/>
          <w:szCs w:val="18"/>
        </w:rPr>
        <w:t>Virgil S. Hicks, Jr. was a founding member of the Joseph M. Johnson council of the Knights of Columbus.  He was the Grand Knight in 1987 and active member until he passed away in March, 2008.  His family is testimony to his strong belief in getting a good education.  In his memory, this scholarship is awarded to children to attend a Catholic high school or any accredited college, university or school.</w:t>
      </w:r>
    </w:p>
    <w:p>
      <w:pPr>
        <w:rPr>
          <w:rFonts w:ascii="Verdana" w:hAnsi="Verdana" w:cs="Verdana"/>
          <w:sz w:val="18"/>
          <w:szCs w:val="18"/>
        </w:rPr>
      </w:pPr>
      <w:r>
        <w:rPr>
          <w:rFonts w:ascii="Verdana" w:hAnsi="Verdana" w:cs="Verdana"/>
          <w:sz w:val="18"/>
          <w:szCs w:val="18"/>
        </w:rPr>
      </w:r>
    </w:p>
    <w:p>
      <w:pPr>
        <w:rPr>
          <w:rFonts w:ascii="Verdana" w:hAnsi="Verdana" w:cs="Verdana"/>
          <w:sz w:val="18"/>
          <w:szCs w:val="18"/>
        </w:rPr>
      </w:pPr>
      <w:r>
        <w:rPr>
          <w:rFonts w:ascii="Verdana" w:hAnsi="Verdana" w:cs="Verdana"/>
          <w:sz w:val="18"/>
          <w:szCs w:val="18"/>
        </w:rPr>
      </w:r>
    </w:p>
    <w:p>
      <w:pPr>
        <w:spacing/>
        <w:jc w:val="center"/>
        <w:rPr>
          <w:rFonts w:ascii="Verdana" w:hAnsi="Verdana" w:cs="Verdana"/>
          <w:sz w:val="18"/>
          <w:szCs w:val="18"/>
        </w:rPr>
      </w:pPr>
      <w:r>
        <w:rPr>
          <w:rFonts w:ascii="Verdana" w:hAnsi="Verdana" w:cs="Verdana"/>
          <w:sz w:val="18"/>
          <w:szCs w:val="18"/>
        </w:rPr>
      </w:r>
    </w:p>
    <w:p>
      <w:pPr>
        <w:spacing/>
        <w:jc w:val="center"/>
        <w:rPr>
          <w:rFonts w:ascii="Verdana" w:hAnsi="Verdana" w:cs="Verdana"/>
          <w:sz w:val="18"/>
          <w:szCs w:val="18"/>
        </w:rPr>
      </w:pPr>
      <w:r>
        <w:rPr>
          <w:rFonts w:ascii="Verdana" w:hAnsi="Verdana" w:cs="Verdana"/>
          <w:sz w:val="18"/>
          <w:szCs w:val="18"/>
          <w:noProof w:val="1"/>
        </w:rPr>
      </w:r>
      <w:r>
        <w:rPr>
          <w:noProof/>
        </w:rPr>
        <w:drawing>
          <wp:inline distT="0" distB="0" distL="0" distR="0">
            <wp:extent cx="2588260" cy="689610"/>
            <wp:effectExtent l="0" t="0" r="0" b="0"/>
            <wp:docPr id="1" name="Picture4"/>
            <wp:cNvGraphicFramePr/>
            <a:graphic xmlns:a="http://schemas.openxmlformats.org/drawingml/2006/main">
              <a:graphicData uri="http://schemas.openxmlformats.org/drawingml/2006/picture">
                <pic:pic xmlns:pic="http://schemas.openxmlformats.org/drawingml/2006/picture">
                  <pic:nvPicPr>
                    <pic:cNvPr id="1" name="Picture4"/>
                    <pic:cNvPicPr>
                      <a:extLst>
                        <a:ext uri="smNativeData">
                          <sm:smNativeData xmlns:sm="smNativeData" val="SMDATA_17_xECZZxMAAAAlAAAAEQAAAA0AAAAAAAAAAAAAAAAAAAAAA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7A8AAD4EAAAAAAAAAAAAAAAAAAAoAAAACAAAAAEAAAABAAAAMAAAABQAAAAAAAAAAAD//wAAAQAAAP//AAABAA=="/>
                        </a:ext>
                      </a:extLst>
                    </pic:cNvPicPr>
                  </pic:nvPicPr>
                  <pic:blipFill>
                    <a:blip r:embed="rId8"/>
                    <a:stretch>
                      <a:fillRect/>
                    </a:stretch>
                  </pic:blipFill>
                  <pic:spPr>
                    <a:xfrm>
                      <a:off x="0" y="0"/>
                      <a:ext cx="2588260" cy="689610"/>
                    </a:xfrm>
                    <a:prstGeom prst="rect">
                      <a:avLst/>
                    </a:prstGeom>
                    <a:solidFill>
                      <a:srgbClr val="FFFFFF"/>
                    </a:solidFill>
                    <a:ln w="12700">
                      <a:noFill/>
                    </a:ln>
                  </pic:spPr>
                </pic:pic>
              </a:graphicData>
            </a:graphic>
          </wp:inline>
        </w:drawing>
      </w:r>
      <w:r>
        <w:rPr>
          <w:rFonts w:ascii="Verdana" w:hAnsi="Verdana" w:cs="Verdana"/>
          <w:sz w:val="18"/>
          <w:szCs w:val="18"/>
          <w:noProof w:val="1"/>
        </w:rPr>
      </w:r>
      <w:r>
        <w:rPr>
          <w:rFonts w:ascii="Verdana" w:hAnsi="Verdana" w:cs="Verdana"/>
          <w:sz w:val="18"/>
          <w:szCs w:val="18"/>
        </w:rPr>
      </w:r>
    </w:p>
    <w:p>
      <w:pPr>
        <w:spacing/>
        <w:jc w:val="center"/>
        <w:rPr>
          <w:rFonts w:ascii="Verdana" w:hAnsi="Verdana" w:cs="Verdana"/>
          <w:sz w:val="18"/>
          <w:szCs w:val="18"/>
        </w:rPr>
      </w:pPr>
      <w:r>
        <w:rPr>
          <w:rFonts w:ascii="Verdana" w:hAnsi="Verdana" w:cs="Verdana"/>
          <w:sz w:val="18"/>
          <w:szCs w:val="18"/>
        </w:rPr>
      </w:r>
    </w:p>
    <w:p>
      <w:pPr>
        <w:rPr>
          <w:rFonts w:ascii="Verdana" w:hAnsi="Verdana" w:cs="Verdana"/>
          <w:sz w:val="18"/>
          <w:szCs w:val="18"/>
        </w:rPr>
      </w:pPr>
      <w:r>
        <w:rPr>
          <w:rFonts w:ascii="Verdana" w:hAnsi="Verdana" w:cs="Verdana"/>
          <w:sz w:val="18"/>
          <w:szCs w:val="18"/>
        </w:rPr>
      </w:r>
    </w:p>
    <w:p>
      <w:pPr>
        <w:rPr>
          <w:rFonts w:ascii="Verdana" w:hAnsi="Verdana" w:cs="Verdana"/>
          <w:sz w:val="18"/>
          <w:szCs w:val="18"/>
        </w:rPr>
      </w:pPr>
      <w:r>
        <w:rPr>
          <w:rFonts w:ascii="Verdana" w:hAnsi="Verdana" w:cs="Verdana"/>
          <w:sz w:val="18"/>
          <w:szCs w:val="18"/>
        </w:rPr>
        <w:t>The Joseph M. Johnson Council of the Knights of Columbus was founded in 1980 through the efforts of the men of St. Ann's parish in Ashland and St. Mary of the Annunciation parish in Ladysmith. It is named after Joseph Johnson, who was a tireless volunteer for many worthwhile causes in the parishes.</w:t>
      </w:r>
    </w:p>
    <w:p>
      <w:pPr>
        <w:pStyle w:val="para6"/>
        <w:rPr>
          <w:rFonts w:ascii="Verdana" w:hAnsi="Verdana" w:cs="Verdana"/>
          <w:sz w:val="18"/>
          <w:szCs w:val="18"/>
        </w:rPr>
      </w:pPr>
      <w:r>
        <w:rPr>
          <w:rFonts w:ascii="Verdana" w:hAnsi="Verdana" w:cs="Verdana"/>
          <w:sz w:val="18"/>
          <w:szCs w:val="18"/>
        </w:rPr>
        <w:t>Thanks to the efforts of Father Michael J. McGivney, assistant pastor of St. Mary’s Church in New Haven and some of his parishioners, the Connecticut state legislature on March 29, 1882, officially chartered the Knights of Columbus as a fraternal benefit society. The Order is still true to its founding principles of charity, unity and fraternity.  The Knights was formed to render financial aid to members and their families. Mutual aid and assistance are offered to sick, disabled and needy members and their families. Social and intellectual fellowship is promoted among members and their families through educational, charitable, religious, social welfare, war relief and public relief works.</w:t>
      </w:r>
    </w:p>
    <w:p>
      <w:pPr>
        <w:spacing/>
        <w:jc w:val="center"/>
        <w:rPr>
          <w:rFonts w:ascii="Verdana" w:hAnsi="Verdana" w:cs="Verdana"/>
          <w:sz w:val="18"/>
          <w:szCs w:val="18"/>
        </w:rPr>
      </w:pPr>
      <w:r>
        <w:rPr>
          <w:rFonts w:ascii="Verdana" w:hAnsi="Verdana" w:cs="Verdana"/>
          <w:sz w:val="18"/>
          <w:szCs w:val="18"/>
        </w:rPr>
      </w:r>
    </w:p>
    <w:p>
      <w:pPr>
        <w:spacing/>
        <w:jc w:val="center"/>
        <w:rPr>
          <w:rFonts w:ascii="Verdana" w:hAnsi="Verdana" w:cs="Verdana"/>
          <w:sz w:val="18"/>
          <w:szCs w:val="18"/>
        </w:rPr>
      </w:pPr>
      <w:r>
        <w:rPr>
          <w:rFonts w:ascii="Verdana" w:hAnsi="Verdana" w:cs="Verdana"/>
          <w:sz w:val="18"/>
          <w:szCs w:val="18"/>
        </w:rPr>
      </w:r>
    </w:p>
    <w:p>
      <w:pPr>
        <w:spacing/>
        <w:jc w:val="center"/>
        <w:rPr>
          <w:rFonts w:ascii="Verdana" w:hAnsi="Verdana" w:cs="Verdana"/>
          <w:sz w:val="18"/>
          <w:szCs w:val="18"/>
          <w:noProof w:val="1"/>
        </w:rPr>
      </w:pPr>
      <w:r>
        <w:rPr>
          <w:noProof/>
        </w:rPr>
        <w:drawing>
          <wp:anchor distT="0" distB="0" distL="114935" distR="114935" simplePos="0" relativeHeight="251658243" behindDoc="0" locked="0" layoutInCell="0" hidden="0" allowOverlap="1">
            <wp:simplePos x="0" y="0"/>
            <wp:positionH relativeFrom="column">
              <wp:posOffset>762000</wp:posOffset>
            </wp:positionH>
            <wp:positionV relativeFrom="paragraph">
              <wp:posOffset>40640</wp:posOffset>
            </wp:positionV>
            <wp:extent cx="1017905" cy="1046480"/>
            <wp:effectExtent l="0" t="0" r="0" b="0"/>
            <wp:wrapSquare wrapText="bothSides"/>
            <wp:docPr id="3" name="Picture3"/>
            <wp:cNvGraphicFramePr/>
            <a:graphic xmlns:a="http://schemas.openxmlformats.org/drawingml/2006/main">
              <a:graphicData uri="http://schemas.openxmlformats.org/drawingml/2006/picture">
                <pic:pic xmlns:pic="http://schemas.openxmlformats.org/drawingml/2006/picture">
                  <pic:nvPicPr>
                    <pic:cNvPr id="3" name="Picture3"/>
                    <pic:cNvPicPr>
                      <a:extLst>
                        <a:ext uri="smNativeData">
                          <sm:smNativeData xmlns:sm="smNativeData" val="SMDATA_17_xECZZxMAAAAlAAAAEQAAAA0AAAAAAAAAAAAAAAAAAAAAA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yAAAAAIIAAAAAAAAAAAAAAAAAAAIAAACwBAAAAAAAAAIAAABAAAAAQwYAAHAGAAAAAAAA0C8AAOsDAAAoAAAACAAAAAEAAAABAAAAMAAAABQAAAAAAAAAAAD//wAAAQAAAP//AAABAA=="/>
                        </a:ext>
                      </a:extLst>
                    </pic:cNvPicPr>
                  </pic:nvPicPr>
                  <pic:blipFill>
                    <a:blip r:embed="rId9"/>
                    <a:stretch>
                      <a:fillRect/>
                    </a:stretch>
                  </pic:blipFill>
                  <pic:spPr>
                    <a:xfrm>
                      <a:off x="0" y="0"/>
                      <a:ext cx="1017905" cy="1046480"/>
                    </a:xfrm>
                    <a:prstGeom prst="rect">
                      <a:avLst/>
                    </a:prstGeom>
                    <a:solidFill>
                      <a:srgbClr val="FFFFFF"/>
                    </a:solidFill>
                    <a:ln w="12700">
                      <a:noFill/>
                    </a:ln>
                  </pic:spPr>
                </pic:pic>
              </a:graphicData>
            </a:graphic>
          </wp:anchor>
        </w:drawing>
      </w:r>
      <w:r>
        <w:rPr>
          <w:rFonts w:ascii="Verdana" w:hAnsi="Verdana" w:cs="Verdana"/>
          <w:sz w:val="18"/>
          <w:szCs w:val="18"/>
          <w:noProof w:val="1"/>
        </w:rPr>
      </w:r>
    </w:p>
    <w:p>
      <w:pPr>
        <w:spacing/>
        <w:jc w:val="center"/>
        <w:rPr>
          <w:rFonts w:ascii="Verdana" w:hAnsi="Verdana" w:cs="Verdana"/>
          <w:sz w:val="18"/>
          <w:szCs w:val="18"/>
        </w:rPr>
      </w:pPr>
      <w:r>
        <w:rPr>
          <w:rFonts w:ascii="Verdana" w:hAnsi="Verdana" w:cs="Verdana"/>
          <w:sz w:val="18"/>
          <w:szCs w:val="18"/>
        </w:rPr>
      </w:r>
    </w:p>
    <w:p>
      <w:pPr>
        <w:spacing/>
        <w:jc w:val="center"/>
        <w:rPr>
          <w:rFonts w:ascii="Verdana" w:hAnsi="Verdana" w:cs="Verdana"/>
          <w:sz w:val="18"/>
          <w:szCs w:val="18"/>
        </w:rPr>
      </w:pPr>
      <w:r>
        <w:rPr>
          <w:rFonts w:ascii="Verdana" w:hAnsi="Verdana" w:cs="Verdana"/>
          <w:sz w:val="18"/>
          <w:szCs w:val="18"/>
        </w:rPr>
      </w:r>
    </w:p>
    <w:p>
      <w:pPr>
        <w:spacing/>
        <w:jc w:val="center"/>
        <w:rPr>
          <w:rFonts w:ascii="Verdana" w:hAnsi="Verdana" w:cs="Verdana"/>
          <w:sz w:val="18"/>
          <w:szCs w:val="18"/>
        </w:rPr>
      </w:pPr>
      <w:r>
        <w:rPr>
          <w:rFonts w:ascii="Verdana" w:hAnsi="Verdana" w:cs="Verdana"/>
          <w:sz w:val="18"/>
          <w:szCs w:val="18"/>
        </w:rPr>
      </w:r>
    </w:p>
    <w:p>
      <w:pPr>
        <w:spacing/>
        <w:jc w:val="center"/>
        <w:rPr>
          <w:rFonts w:ascii="Verdana" w:hAnsi="Verdana" w:cs="Verdana"/>
          <w:sz w:val="18"/>
          <w:szCs w:val="18"/>
        </w:rPr>
      </w:pPr>
      <w:r>
        <w:rPr>
          <w:rFonts w:ascii="Verdana" w:hAnsi="Verdana" w:cs="Verdana"/>
          <w:sz w:val="18"/>
          <w:szCs w:val="18"/>
        </w:rPr>
      </w:r>
    </w:p>
    <w:p>
      <w:pPr>
        <w:spacing/>
        <w:jc w:val="center"/>
        <w:rPr>
          <w:rFonts w:ascii="Verdana" w:hAnsi="Verdana" w:cs="Verdana"/>
          <w:sz w:val="18"/>
          <w:szCs w:val="18"/>
        </w:rPr>
      </w:pPr>
      <w:r>
        <w:rPr>
          <w:rFonts w:ascii="Verdana" w:hAnsi="Verdana" w:cs="Verdana"/>
          <w:sz w:val="18"/>
          <w:szCs w:val="18"/>
        </w:rPr>
      </w:r>
    </w:p>
    <w:p>
      <w:pPr>
        <w:spacing/>
        <w:jc w:val="center"/>
        <w:rPr>
          <w:rFonts w:ascii="Verdana" w:hAnsi="Verdana" w:cs="Verdana"/>
          <w:sz w:val="18"/>
          <w:szCs w:val="18"/>
        </w:rPr>
      </w:pPr>
      <w:r>
        <w:rPr>
          <w:rFonts w:ascii="Verdana" w:hAnsi="Verdana" w:cs="Verdana"/>
          <w:sz w:val="18"/>
          <w:szCs w:val="18"/>
        </w:rPr>
      </w:r>
    </w:p>
    <w:p>
      <w:pPr>
        <w:spacing/>
        <w:jc w:val="center"/>
        <w:rPr>
          <w:rFonts w:ascii="Verdana" w:hAnsi="Verdana" w:cs="Verdana"/>
          <w:sz w:val="18"/>
          <w:szCs w:val="18"/>
        </w:rPr>
      </w:pPr>
      <w:r>
        <w:rPr>
          <w:rFonts w:ascii="Verdana" w:hAnsi="Verdana" w:cs="Verdana"/>
          <w:sz w:val="18"/>
          <w:szCs w:val="18"/>
        </w:rPr>
      </w:r>
    </w:p>
    <w:p>
      <w:pPr>
        <w:spacing/>
        <w:jc w:val="center"/>
        <w:rPr>
          <w:rFonts w:ascii="Verdana" w:hAnsi="Verdana" w:cs="Verdana"/>
          <w:b/>
          <w:sz w:val="28"/>
          <w:szCs w:val="28"/>
        </w:rPr>
      </w:pPr>
      <w:r>
        <w:rPr>
          <w:rFonts w:ascii="Verdana" w:hAnsi="Verdana" w:cs="Verdana"/>
          <w:b/>
          <w:sz w:val="28"/>
          <w:szCs w:val="28"/>
        </w:rPr>
      </w:r>
    </w:p>
    <w:p>
      <w:pPr>
        <w:spacing/>
        <w:jc w:val="center"/>
      </w:pPr>
      <w:r>
        <w:rPr>
          <w:rFonts w:ascii="Verdana" w:hAnsi="Verdana" w:cs="Verdana"/>
          <w:b/>
          <w:sz w:val="28"/>
          <w:szCs w:val="28"/>
        </w:rPr>
        <w:t>VIRGIL S. HICKS, JR. MEMORIAL SCHOLARSHIP</w:t>
      </w:r>
      <w:r/>
    </w:p>
    <w:p>
      <w:pPr>
        <w:spacing/>
        <w:jc w:val="center"/>
      </w:pPr>
      <w:r/>
    </w:p>
    <w:p>
      <w:pPr>
        <w:rPr>
          <w:rFonts w:ascii="Verdana" w:hAnsi="Verdana" w:cs="Verdana"/>
          <w:sz w:val="18"/>
          <w:szCs w:val="18"/>
        </w:rPr>
      </w:pPr>
      <w:r>
        <w:rPr>
          <w:rFonts w:ascii="Verdana" w:hAnsi="Verdana" w:cs="Verdana"/>
          <w:sz w:val="18"/>
          <w:szCs w:val="18"/>
        </w:rPr>
      </w:r>
    </w:p>
    <w:p>
      <w:pPr>
        <w:spacing/>
        <w:jc w:val="center"/>
        <w:rPr>
          <w:rFonts w:ascii="Verdana" w:hAnsi="Verdana" w:cs="Verdana"/>
          <w:sz w:val="18"/>
          <w:szCs w:val="18"/>
        </w:rPr>
      </w:pPr>
      <w:r>
        <w:rPr>
          <w:rFonts w:ascii="Verdana" w:hAnsi="Verdana" w:cs="Verdana"/>
          <w:sz w:val="18"/>
          <w:szCs w:val="18"/>
          <w:noProof w:val="1"/>
        </w:rPr>
      </w:r>
      <w:r>
        <w:rPr>
          <w:noProof/>
        </w:rPr>
        <w:drawing>
          <wp:inline distT="0" distB="0" distL="0" distR="0">
            <wp:extent cx="2219325" cy="3241040"/>
            <wp:effectExtent l="0" t="0" r="0" b="0"/>
            <wp:docPr id="2" name="Picture5"/>
            <wp:cNvGraphicFramePr/>
            <a:graphic xmlns:a="http://schemas.openxmlformats.org/drawingml/2006/main">
              <a:graphicData uri="http://schemas.openxmlformats.org/drawingml/2006/picture">
                <pic:pic xmlns:pic="http://schemas.openxmlformats.org/drawingml/2006/picture">
                  <pic:nvPicPr>
                    <pic:cNvPr id="2" name="Picture5"/>
                    <pic:cNvPicPr>
                      <a:extLst>
                        <a:ext uri="smNativeData">
                          <sm:smNativeData xmlns:sm="smNativeData" val="SMDATA_17_xECZZxMAAAAlAAAAEQAAAA0AAAAAAAAAAAAAAAAAAAAAA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pw0AAPATAAAAAAAAAAAAAAAAAAAoAAAACAAAAAEAAAABAAAAMAAAABQAAAAAAAAAAAD//wAAAQAAAP//AAABAA=="/>
                        </a:ext>
                      </a:extLst>
                    </pic:cNvPicPr>
                  </pic:nvPicPr>
                  <pic:blipFill>
                    <a:blip r:embed="rId10"/>
                    <a:stretch>
                      <a:fillRect/>
                    </a:stretch>
                  </pic:blipFill>
                  <pic:spPr>
                    <a:xfrm>
                      <a:off x="0" y="0"/>
                      <a:ext cx="2219325" cy="3241040"/>
                    </a:xfrm>
                    <a:prstGeom prst="rect">
                      <a:avLst/>
                    </a:prstGeom>
                    <a:solidFill>
                      <a:srgbClr val="FFFFFF"/>
                    </a:solidFill>
                    <a:ln w="12700">
                      <a:noFill/>
                    </a:ln>
                  </pic:spPr>
                </pic:pic>
              </a:graphicData>
            </a:graphic>
          </wp:inline>
        </w:drawing>
      </w:r>
      <w:r>
        <w:rPr>
          <w:rFonts w:ascii="Verdana" w:hAnsi="Verdana" w:cs="Verdana"/>
          <w:sz w:val="18"/>
          <w:szCs w:val="18"/>
          <w:noProof w:val="1"/>
        </w:rPr>
      </w:r>
      <w:r>
        <w:rPr>
          <w:rFonts w:ascii="Verdana" w:hAnsi="Verdana" w:cs="Verdana"/>
          <w:sz w:val="18"/>
          <w:szCs w:val="18"/>
        </w:rPr>
      </w:r>
    </w:p>
    <w:p>
      <w:pPr>
        <w:rPr>
          <w:rFonts w:ascii="Verdana" w:hAnsi="Verdana" w:cs="Verdana"/>
          <w:sz w:val="18"/>
          <w:szCs w:val="18"/>
        </w:rPr>
      </w:pPr>
      <w:r>
        <w:rPr>
          <w:rFonts w:ascii="Verdana" w:hAnsi="Verdana" w:cs="Verdana"/>
          <w:sz w:val="18"/>
          <w:szCs w:val="18"/>
        </w:rPr>
      </w:r>
    </w:p>
    <w:p>
      <w:pPr>
        <w:rPr>
          <w:rFonts w:ascii="Verdana" w:hAnsi="Verdana" w:cs="Verdana"/>
          <w:sz w:val="18"/>
          <w:szCs w:val="18"/>
        </w:rPr>
      </w:pPr>
      <w:r>
        <w:rPr>
          <w:rFonts w:ascii="Verdana" w:hAnsi="Verdana" w:cs="Verdana"/>
          <w:sz w:val="18"/>
          <w:szCs w:val="18"/>
        </w:rPr>
      </w:r>
    </w:p>
    <w:p>
      <w:pPr>
        <w:spacing/>
        <w:jc w:val="center"/>
        <w:rPr>
          <w:rFonts w:ascii="Verdana" w:hAnsi="Verdana" w:cs="Verdana"/>
          <w:b/>
          <w:sz w:val="20"/>
          <w:szCs w:val="20"/>
        </w:rPr>
      </w:pPr>
      <w:r>
        <w:rPr>
          <w:rFonts w:ascii="Verdana" w:hAnsi="Verdana" w:cs="Verdana"/>
          <w:b/>
          <w:sz w:val="20"/>
          <w:szCs w:val="20"/>
        </w:rPr>
        <w:t>Knights of Columbus</w:t>
      </w:r>
    </w:p>
    <w:p>
      <w:pPr>
        <w:spacing/>
        <w:jc w:val="center"/>
        <w:rPr>
          <w:rFonts w:ascii="Verdana" w:hAnsi="Verdana" w:cs="Verdana"/>
          <w:sz w:val="18"/>
          <w:szCs w:val="18"/>
        </w:rPr>
      </w:pPr>
      <w:r>
        <w:rPr>
          <w:rFonts w:ascii="Verdana" w:hAnsi="Verdana" w:cs="Verdana"/>
          <w:b/>
          <w:sz w:val="20"/>
          <w:szCs w:val="20"/>
        </w:rPr>
        <w:t>Joseph M. Johnson Council#7538</w:t>
      </w:r>
      <w:r>
        <w:rPr>
          <w:rFonts w:ascii="Verdana" w:hAnsi="Verdana" w:cs="Verdana"/>
          <w:sz w:val="18"/>
          <w:szCs w:val="18"/>
        </w:rPr>
      </w:r>
    </w:p>
    <w:p>
      <w:pPr>
        <w:rPr>
          <w:rFonts w:ascii="Verdana" w:hAnsi="Verdana" w:cs="Verdana"/>
          <w:sz w:val="18"/>
          <w:szCs w:val="18"/>
        </w:rPr>
      </w:pPr>
      <w:r>
        <w:rPr>
          <w:rFonts w:ascii="Verdana" w:hAnsi="Verdana" w:cs="Verdana"/>
          <w:sz w:val="18"/>
          <w:szCs w:val="18"/>
        </w:rPr>
      </w:r>
    </w:p>
    <w:p>
      <w:pPr>
        <w:rPr>
          <w:rFonts w:ascii="Verdana" w:hAnsi="Verdana" w:cs="Verdana"/>
          <w:sz w:val="18"/>
          <w:szCs w:val="18"/>
        </w:rPr>
      </w:pPr>
      <w:r>
        <w:rPr>
          <w:rFonts w:ascii="Verdana" w:hAnsi="Verdana" w:cs="Verdana"/>
          <w:sz w:val="18"/>
          <w:szCs w:val="18"/>
        </w:rPr>
      </w:r>
    </w:p>
    <w:sectPr>
      <w:footnotePr>
        <w:pos w:val="pageBottom"/>
        <w:numFmt w:val="decimal"/>
        <w:numStart w:val="1"/>
        <w:numRestart w:val="continuous"/>
      </w:footnotePr>
      <w:endnotePr>
        <w:pos w:val="docEnd"/>
        <w:numFmt w:val="lowerRoman"/>
        <w:numStart w:val="1"/>
        <w:numRestart w:val="continuous"/>
      </w:endnotePr>
      <w:type w:val="continuous"/>
      <w:pgSz w:h="12240" w:w="15840" w:orient="landscape"/>
      <w:pgMar w:left="720" w:top="720" w:right="720" w:bottom="864"/>
      <w:paperSrc w:first="0" w:other="0" a="0" b="0"/>
      <w:pgNumType w:fmt="decimal"/>
      <w:cols w:num="3" w:equalWidth="1" w:space="1080"/>
      <w15:footnoteColumns w:val="1"/>
      <w:tmGutter w:val="5"/>
      <w:mirrorMargins w:val="0"/>
      <w:tmSection w:h="-2"/>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Microsoft YaHei">
    <w:panose1 w:val="020B0503020204020204"/>
    <w:charset w:val="00"/>
    <w:family w:val="swiss"/>
    <w:pitch w:val="default"/>
  </w:font>
  <w:font w:name="Mangal">
    <w:panose1 w:val="02020603050405020304"/>
    <w:charset w:val="00"/>
    <w:family w:val="roman"/>
    <w:pitch w:val="default"/>
  </w:font>
  <w:font w:name="Verdana">
    <w:panose1 w:val="020B060403050404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view w:val="print"/>
  <w:displayBackgroundShape/>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1"/>
    <w:tmRevisionNum w:val="8"/>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38096836"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noProof w:val="1"/>
      </w:rPr>
    </w:rPrDefault>
    <w:pPrDefault>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en-us" w:eastAsia="ar-sa" w:bidi="ar-sa"/>
    </w:rPr>
  </w:style>
  <w:style w:type="paragraph" w:styleId="para1" w:customStyle="1">
    <w:name w:val="Heading"/>
    <w:qFormat/>
    <w:basedOn w:val="para0"/>
    <w:next w:val="para2"/>
    <w:pPr>
      <w:spacing w:before="240" w:after="120"/>
      <w:keepNext/>
    </w:pPr>
    <w:rPr>
      <w:rFonts w:ascii="Arial" w:hAnsi="Arial" w:eastAsia="Microsoft YaHei" w:cs="Mangal"/>
      <w:sz w:val="28"/>
      <w:szCs w:val="28"/>
    </w:rPr>
  </w:style>
  <w:style w:type="paragraph" w:styleId="para2">
    <w:name w:val="Body Text"/>
    <w:qFormat/>
    <w:basedOn w:val="para0"/>
    <w:pPr>
      <w:spacing w:after="120"/>
    </w:pPr>
  </w:style>
  <w:style w:type="paragraph" w:styleId="para3">
    <w:name w:val="List"/>
    <w:qFormat/>
    <w:basedOn w:val="para2"/>
    <w:rPr>
      <w:rFonts w:cs="Mangal"/>
    </w:rPr>
  </w:style>
  <w:style w:type="paragraph" w:styleId="para4">
    <w:name w:val="caption"/>
    <w:qFormat/>
    <w:basedOn w:val="para0"/>
    <w:pPr>
      <w:spacing w:before="120" w:after="120"/>
      <w:suppressLineNumbers/>
    </w:pPr>
    <w:rPr>
      <w:rFonts w:cs="Mangal"/>
      <w:i/>
    </w:rPr>
  </w:style>
  <w:style w:type="paragraph" w:styleId="para5" w:customStyle="1">
    <w:name w:val="Index"/>
    <w:qFormat/>
    <w:basedOn w:val="para0"/>
    <w:pPr>
      <w:suppressLineNumbers/>
    </w:pPr>
    <w:rPr>
      <w:rFonts w:cs="Mangal"/>
    </w:rPr>
  </w:style>
  <w:style w:type="paragraph" w:styleId="para6">
    <w:name w:val="Normal (Web)"/>
    <w:qFormat/>
    <w:basedOn w:val="para0"/>
    <w:pPr>
      <w:spacing w:before="280" w:after="280"/>
    </w:pPr>
  </w:style>
  <w:style w:type="character" w:styleId="char0" w:default="1">
    <w:name w:val="Default Paragraph Font"/>
    <w:basedOn w:val="char0"/>
  </w:style>
  <w:style w:type="character" w:styleId="char1" w:customStyle="1">
    <w:name w:val="WW-Default Paragraph Font"/>
  </w:style>
  <w:style w:type="character" w:styleId="char2">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noProof w:val="1"/>
      </w:rPr>
    </w:rPrDefault>
    <w:pPrDefault>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en-us" w:eastAsia="ar-sa" w:bidi="ar-sa"/>
    </w:rPr>
  </w:style>
  <w:style w:type="paragraph" w:styleId="para1" w:customStyle="1">
    <w:name w:val="Heading"/>
    <w:qFormat/>
    <w:basedOn w:val="para0"/>
    <w:next w:val="para2"/>
    <w:pPr>
      <w:spacing w:before="240" w:after="120"/>
      <w:keepNext/>
    </w:pPr>
    <w:rPr>
      <w:rFonts w:ascii="Arial" w:hAnsi="Arial" w:eastAsia="Microsoft YaHei" w:cs="Mangal"/>
      <w:sz w:val="28"/>
      <w:szCs w:val="28"/>
    </w:rPr>
  </w:style>
  <w:style w:type="paragraph" w:styleId="para2">
    <w:name w:val="Body Text"/>
    <w:qFormat/>
    <w:basedOn w:val="para0"/>
    <w:pPr>
      <w:spacing w:after="120"/>
    </w:pPr>
  </w:style>
  <w:style w:type="paragraph" w:styleId="para3">
    <w:name w:val="List"/>
    <w:qFormat/>
    <w:basedOn w:val="para2"/>
    <w:rPr>
      <w:rFonts w:cs="Mangal"/>
    </w:rPr>
  </w:style>
  <w:style w:type="paragraph" w:styleId="para4">
    <w:name w:val="caption"/>
    <w:qFormat/>
    <w:basedOn w:val="para0"/>
    <w:pPr>
      <w:spacing w:before="120" w:after="120"/>
      <w:suppressLineNumbers/>
    </w:pPr>
    <w:rPr>
      <w:rFonts w:cs="Mangal"/>
      <w:i/>
    </w:rPr>
  </w:style>
  <w:style w:type="paragraph" w:styleId="para5" w:customStyle="1">
    <w:name w:val="Index"/>
    <w:qFormat/>
    <w:basedOn w:val="para0"/>
    <w:pPr>
      <w:suppressLineNumbers/>
    </w:pPr>
    <w:rPr>
      <w:rFonts w:cs="Mangal"/>
    </w:rPr>
  </w:style>
  <w:style w:type="paragraph" w:styleId="para6">
    <w:name w:val="Normal (Web)"/>
    <w:qFormat/>
    <w:basedOn w:val="para0"/>
    <w:pPr>
      <w:spacing w:before="280" w:after="280"/>
    </w:pPr>
  </w:style>
  <w:style w:type="character" w:styleId="char0" w:default="1">
    <w:name w:val="Default Paragraph Font"/>
    <w:basedOn w:val="char0"/>
  </w:style>
  <w:style w:type="character" w:styleId="char1" w:customStyle="1">
    <w:name w:val="WW-Default Paragraph Font"/>
  </w:style>
  <w:style w:type="character" w:styleId="char2">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yperlink" Target="mailto:gk7538@vakofc.org" TargetMode="Externa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The scholarship awards $250 per year for four years</dc:title>
  <dc:subject/>
  <dc:creator>McKesson Corp.</dc:creator>
  <cp:keywords/>
  <dc:description/>
  <cp:lastModifiedBy>Mario Dalla Valle</cp:lastModifiedBy>
  <cp:revision>8</cp:revision>
  <cp:lastPrinted>2009-01-23T13:28:00Z</cp:lastPrinted>
  <dcterms:created xsi:type="dcterms:W3CDTF">2022-04-15T14:12:00Z</dcterms:created>
  <dcterms:modified xsi:type="dcterms:W3CDTF">2025-01-28T20:40:36Z</dcterms:modified>
</cp:coreProperties>
</file>